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C20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696ED5E">
      <w:pPr>
        <w:spacing w:line="540" w:lineRule="exact"/>
        <w:jc w:val="center"/>
        <w:rPr>
          <w:rFonts w:ascii="华文中宋" w:hAnsi="华文中宋" w:eastAsia="华文中宋" w:cs="宋体"/>
          <w:b/>
          <w:kern w:val="0"/>
          <w:sz w:val="52"/>
          <w:szCs w:val="52"/>
        </w:rPr>
      </w:pPr>
    </w:p>
    <w:p w14:paraId="7BFA404E">
      <w:pPr>
        <w:spacing w:line="540" w:lineRule="exact"/>
        <w:jc w:val="center"/>
        <w:rPr>
          <w:rFonts w:ascii="华文中宋" w:hAnsi="华文中宋" w:eastAsia="华文中宋" w:cs="宋体"/>
          <w:b/>
          <w:kern w:val="0"/>
          <w:sz w:val="52"/>
          <w:szCs w:val="52"/>
        </w:rPr>
      </w:pPr>
    </w:p>
    <w:p w14:paraId="7F2B5BD0">
      <w:pPr>
        <w:spacing w:line="540" w:lineRule="exact"/>
        <w:jc w:val="center"/>
        <w:rPr>
          <w:rFonts w:ascii="华文中宋" w:hAnsi="华文中宋" w:eastAsia="华文中宋" w:cs="宋体"/>
          <w:b/>
          <w:kern w:val="0"/>
          <w:sz w:val="52"/>
          <w:szCs w:val="52"/>
        </w:rPr>
      </w:pPr>
    </w:p>
    <w:p w14:paraId="182A4E55">
      <w:pPr>
        <w:spacing w:line="540" w:lineRule="exact"/>
        <w:jc w:val="center"/>
        <w:rPr>
          <w:rFonts w:ascii="华文中宋" w:hAnsi="华文中宋" w:eastAsia="华文中宋" w:cs="宋体"/>
          <w:b/>
          <w:kern w:val="0"/>
          <w:sz w:val="52"/>
          <w:szCs w:val="52"/>
        </w:rPr>
      </w:pPr>
    </w:p>
    <w:p w14:paraId="7C2327FB">
      <w:pPr>
        <w:spacing w:line="540" w:lineRule="exact"/>
        <w:jc w:val="center"/>
        <w:rPr>
          <w:rFonts w:ascii="华文中宋" w:hAnsi="华文中宋" w:eastAsia="华文中宋" w:cs="宋体"/>
          <w:b/>
          <w:kern w:val="0"/>
          <w:sz w:val="52"/>
          <w:szCs w:val="52"/>
        </w:rPr>
      </w:pPr>
    </w:p>
    <w:p w14:paraId="0DB2D68A">
      <w:pPr>
        <w:spacing w:line="540" w:lineRule="exact"/>
        <w:jc w:val="center"/>
        <w:rPr>
          <w:rFonts w:ascii="华文中宋" w:hAnsi="华文中宋" w:eastAsia="华文中宋" w:cs="宋体"/>
          <w:b/>
          <w:kern w:val="0"/>
          <w:sz w:val="52"/>
          <w:szCs w:val="52"/>
        </w:rPr>
      </w:pPr>
    </w:p>
    <w:p w14:paraId="261094F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B86F9D7">
      <w:pPr>
        <w:spacing w:line="540" w:lineRule="exact"/>
        <w:jc w:val="center"/>
        <w:rPr>
          <w:rFonts w:ascii="华文中宋" w:hAnsi="华文中宋" w:eastAsia="华文中宋" w:cs="宋体"/>
          <w:b/>
          <w:kern w:val="0"/>
          <w:sz w:val="52"/>
          <w:szCs w:val="52"/>
        </w:rPr>
      </w:pPr>
    </w:p>
    <w:p w14:paraId="586A33A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25536B0">
      <w:pPr>
        <w:spacing w:line="540" w:lineRule="exact"/>
        <w:jc w:val="center"/>
        <w:rPr>
          <w:rFonts w:hAnsi="宋体" w:eastAsia="仿宋_GB2312" w:cs="宋体"/>
          <w:kern w:val="0"/>
          <w:sz w:val="30"/>
          <w:szCs w:val="30"/>
        </w:rPr>
      </w:pPr>
    </w:p>
    <w:p w14:paraId="05406938">
      <w:pPr>
        <w:spacing w:line="540" w:lineRule="exact"/>
        <w:jc w:val="center"/>
        <w:rPr>
          <w:rFonts w:hAnsi="宋体" w:eastAsia="仿宋_GB2312" w:cs="宋体"/>
          <w:kern w:val="0"/>
          <w:sz w:val="30"/>
          <w:szCs w:val="30"/>
        </w:rPr>
      </w:pPr>
    </w:p>
    <w:p w14:paraId="5E60DEE6">
      <w:pPr>
        <w:spacing w:line="540" w:lineRule="exact"/>
        <w:jc w:val="center"/>
        <w:rPr>
          <w:rFonts w:hAnsi="宋体" w:eastAsia="仿宋_GB2312" w:cs="宋体"/>
          <w:kern w:val="0"/>
          <w:sz w:val="30"/>
          <w:szCs w:val="30"/>
        </w:rPr>
      </w:pPr>
    </w:p>
    <w:p w14:paraId="56D710CF">
      <w:pPr>
        <w:spacing w:line="540" w:lineRule="exact"/>
        <w:jc w:val="center"/>
        <w:rPr>
          <w:rFonts w:hAnsi="宋体" w:eastAsia="仿宋_GB2312" w:cs="宋体"/>
          <w:kern w:val="0"/>
          <w:sz w:val="30"/>
          <w:szCs w:val="30"/>
        </w:rPr>
      </w:pPr>
    </w:p>
    <w:p w14:paraId="4F92035B">
      <w:pPr>
        <w:spacing w:line="540" w:lineRule="exact"/>
        <w:jc w:val="center"/>
        <w:rPr>
          <w:rFonts w:hAnsi="宋体" w:eastAsia="仿宋_GB2312" w:cs="宋体"/>
          <w:kern w:val="0"/>
          <w:sz w:val="30"/>
          <w:szCs w:val="30"/>
        </w:rPr>
      </w:pPr>
    </w:p>
    <w:p w14:paraId="574B2AC1">
      <w:pPr>
        <w:spacing w:line="540" w:lineRule="exact"/>
        <w:jc w:val="center"/>
        <w:rPr>
          <w:rFonts w:hAnsi="宋体" w:eastAsia="仿宋_GB2312" w:cs="宋体"/>
          <w:kern w:val="0"/>
          <w:sz w:val="30"/>
          <w:szCs w:val="30"/>
        </w:rPr>
      </w:pPr>
    </w:p>
    <w:p w14:paraId="7A2CBF1B">
      <w:pPr>
        <w:spacing w:line="540" w:lineRule="exact"/>
        <w:rPr>
          <w:rFonts w:hAnsi="宋体" w:eastAsia="仿宋_GB2312" w:cs="宋体"/>
          <w:kern w:val="0"/>
          <w:sz w:val="30"/>
          <w:szCs w:val="30"/>
        </w:rPr>
      </w:pPr>
    </w:p>
    <w:p w14:paraId="6E40DC6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3C5A5D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2023年中央补助地方博物馆纪念馆免费开放补助资金</w:t>
      </w:r>
    </w:p>
    <w:p w14:paraId="7F1376A4">
      <w:pPr>
        <w:spacing w:line="540" w:lineRule="exact"/>
        <w:ind w:firstLine="567"/>
        <w:rPr>
          <w:rFonts w:hint="eastAsia" w:ascii="楷体" w:hAnsi="楷体" w:eastAsia="楷体"/>
          <w:b/>
          <w:bCs/>
          <w:spacing w:val="-4"/>
          <w:sz w:val="32"/>
          <w:szCs w:val="32"/>
          <w:lang w:eastAsia="zh-CN"/>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w:t>
      </w:r>
      <w:r>
        <w:rPr>
          <w:rStyle w:val="18"/>
          <w:rFonts w:hint="eastAsia" w:ascii="楷体" w:hAnsi="楷体" w:eastAsia="楷体"/>
          <w:spacing w:val="-4"/>
          <w:sz w:val="28"/>
          <w:szCs w:val="28"/>
          <w:lang w:val="en-US" w:eastAsia="zh-CN"/>
        </w:rPr>
        <w:t>博物馆</w:t>
      </w:r>
    </w:p>
    <w:p w14:paraId="47461D80">
      <w:pPr>
        <w:spacing w:line="540" w:lineRule="exact"/>
        <w:ind w:firstLine="900" w:firstLineChars="250"/>
        <w:rPr>
          <w:rFonts w:hint="eastAsia" w:ascii="楷体" w:hAnsi="楷体" w:eastAsia="楷体"/>
          <w:b/>
          <w:bCs/>
          <w:spacing w:val="-4"/>
          <w:sz w:val="28"/>
          <w:szCs w:val="28"/>
          <w:lang w:eastAsia="zh-CN"/>
        </w:rPr>
      </w:pPr>
      <w:r>
        <w:rPr>
          <w:rFonts w:hint="eastAsia" w:hAnsi="宋体" w:eastAsia="仿宋_GB2312" w:cs="宋体"/>
          <w:kern w:val="0"/>
          <w:sz w:val="36"/>
          <w:szCs w:val="36"/>
        </w:rPr>
        <w:t>主管部门（公</w:t>
      </w:r>
      <w:bookmarkStart w:id="0" w:name="_GoBack"/>
      <w:bookmarkEnd w:id="0"/>
      <w:r>
        <w:rPr>
          <w:rFonts w:hint="eastAsia" w:hAnsi="宋体" w:eastAsia="仿宋_GB2312" w:cs="宋体"/>
          <w:kern w:val="0"/>
          <w:sz w:val="36"/>
          <w:szCs w:val="36"/>
        </w:rPr>
        <w:t>章）：</w:t>
      </w:r>
      <w:r>
        <w:rPr>
          <w:rStyle w:val="18"/>
          <w:rFonts w:hint="eastAsia" w:ascii="楷体" w:hAnsi="楷体" w:eastAsia="楷体"/>
          <w:spacing w:val="-4"/>
          <w:sz w:val="28"/>
          <w:szCs w:val="28"/>
        </w:rPr>
        <w:t>木垒县</w:t>
      </w:r>
      <w:r>
        <w:rPr>
          <w:rStyle w:val="18"/>
          <w:rFonts w:hint="eastAsia" w:ascii="楷体" w:hAnsi="楷体" w:eastAsia="楷体"/>
          <w:spacing w:val="-4"/>
          <w:sz w:val="28"/>
          <w:szCs w:val="28"/>
          <w:lang w:val="en-US" w:eastAsia="zh-CN"/>
        </w:rPr>
        <w:t>博物馆</w:t>
      </w:r>
    </w:p>
    <w:p w14:paraId="0AB4C1E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何伟</w:t>
      </w:r>
    </w:p>
    <w:p w14:paraId="1DE8240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14:paraId="1B8D36A5">
      <w:pPr>
        <w:spacing w:line="700" w:lineRule="exact"/>
        <w:ind w:firstLine="708" w:firstLineChars="236"/>
        <w:jc w:val="left"/>
        <w:rPr>
          <w:rFonts w:hAnsi="宋体" w:eastAsia="仿宋_GB2312" w:cs="宋体"/>
          <w:kern w:val="0"/>
          <w:sz w:val="30"/>
          <w:szCs w:val="30"/>
        </w:rPr>
      </w:pPr>
    </w:p>
    <w:p w14:paraId="443E831F">
      <w:pPr>
        <w:spacing w:line="540" w:lineRule="exact"/>
        <w:rPr>
          <w:rStyle w:val="18"/>
          <w:rFonts w:ascii="黑体" w:hAnsi="黑体" w:eastAsia="黑体"/>
          <w:b w:val="0"/>
          <w:spacing w:val="-4"/>
          <w:sz w:val="32"/>
          <w:szCs w:val="32"/>
        </w:rPr>
      </w:pPr>
    </w:p>
    <w:p w14:paraId="67A78BB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9D52F29">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1F3089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我馆根据《新疆维吾尔自治区博物馆（站）免费开放资金服务标准》和《新疆维吾尔自治区图使馆、博物馆（站）免费开放资金工作绩效考核办法（暂行）要求，在县委宣传部的领导下，在县文化体育旅游广播影视局的总体安排下，保证博物馆所有展厅免费开放工作正常运行，正常举办流动博物馆、历史宣传等工作，开展县域内文物保护工作和丰富群众文化生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于昌州财教(2022)61号文件安排资金为40万元，主要用于2023年在县文化体育旅游广播影视局的总体安排下，保证博物馆所有展厅免费开放工作正常运行，正常举办流动博物馆、历史宣传等工作，开展县域内文物保护工作和丰富群众文化生活，以阵地服务、流动服务、拓展服务及个性化服务相结合，坚持益性原则，保障了公民基本文化权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1日开始做前期准备，在县文化体育旅游广播影视局的总体安排下，保证博物馆所有展厅免费开放工作正常运行，正常举办流动博物馆、历史宣传等工作，开展县域内文物保护工作和丰富群众文化生活，以阵地服务、流动服务、拓展服务及个性化服务相结合，坚持益性原则，保障了公民基本文化权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博物馆免费开放资金项目资金昌州财教(2022)61号文件安排资金为40万元，为上级财政资金，实际到位率40万元，资金到位率100%，实际执行40万元，执行率100%，资金落实到位。为确保项目资金的安全有效使用、安全运行，提高资金的使用效率，我单位严格按照木垒哈萨克自治县博物馆财务会计内部控制制度执行，资金由财政大平台统一拨付，由财政监管，严禁随意调整预算，改变支出用途，做到专款专用，严禁截留、挪用、挤占项目资金等违规违纪问题的发生。</w:t>
      </w:r>
    </w:p>
    <w:p w14:paraId="4BD078C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A0C67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保证博物馆所有展厅免费开放工作正常运行，正常举办流动博物馆、历史宣传等工作，开展县域内文物保护工作和丰富群众文化生活。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2.12023年12月31日前完成开展流动博物馆展览次数10次，举办宣传活动次数2次。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2023年12月31日前完成博物馆所有展厅免费开放316天，正常举办流动博物馆10次、历史宣传2次，县域内文物保护率100%。</w:t>
      </w:r>
    </w:p>
    <w:p w14:paraId="30359D8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55408B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9007B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博物馆中央补助博物馆免费开放补助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木垒县博物馆中央补助博物馆免费开放补助资金。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博物馆中央补助博物馆免费开放补助资金的工作完成情况、完成效果及公众满意度进行评价，具体从项目决策（包括绩效目标、决策过程）、项目管理（包括项目资金、项目实施）、项目产出（包括项目产出数量、产出质量、产出时效和产出成本）、项目效益四个维度来评价。</w:t>
      </w:r>
    </w:p>
    <w:p w14:paraId="0B4FDB8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852EE6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为年度绩效指标完成情况。共设3个一级指标，其中：产出指标4个二级指标；成本指标下设2个二级指标。效益指标下设2个二级指标，满意度指标下1个级指标，并以此设定各项指标的分值分配：产出、成本、效益、满意度。本次绩效评价实行百分制，即各项指标值之和为100分，项目采用综合评分法进行绩效评价。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10EE0DF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1ADEB2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1.2024年3月5日，我单位在收到自评工作任务后及时组织了绩效评价工作小组，其中局长任组长，主要负责工作安排，副局长为副组长，主要负责报告的审核、指导，财务、业务人员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2024年4月15日，根据项目的实施内容和特征制定了评价指标体系及评价标准以及评价实施方案，修正并确定所需资料清单，最终确定绩效评价工作方案；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2024年4月15日- 4月20日，评价工作进入实施阶段：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评价小组根据项目的实施情况、资金的分配和使用情况、项目自评情况，对项目的实施全过程工作进行核实。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2024年4月20日- 4月30日，评价组按照绩效评价的原则和规范，对取得的资料进行审查核实，对采集的数据进行分析，按照绩效评价指标评分表逐项进行打分、分析，汇总各方评价结果，综合分析并形成评价结论。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14:paraId="4E4E14E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E119C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木垒哈萨克自治县博物馆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t>项目决策</w:t>
      </w:r>
      <w:r>
        <w:rPr>
          <w:rStyle w:val="18"/>
          <w:rFonts w:hint="eastAsia" w:ascii="楷体" w:hAnsi="楷体" w:eastAsia="楷体"/>
          <w:b w:val="0"/>
          <w:bCs w:val="0"/>
          <w:spacing w:val="-4"/>
          <w:sz w:val="32"/>
          <w:szCs w:val="32"/>
        </w:rPr>
        <w:tab/>
        <w:t>项目过程</w:t>
      </w:r>
      <w:r>
        <w:rPr>
          <w:rStyle w:val="18"/>
          <w:rFonts w:hint="eastAsia" w:ascii="楷体" w:hAnsi="楷体" w:eastAsia="楷体"/>
          <w:b w:val="0"/>
          <w:bCs w:val="0"/>
          <w:spacing w:val="-4"/>
          <w:sz w:val="32"/>
          <w:szCs w:val="32"/>
        </w:rPr>
        <w:tab/>
        <w:t>项目产出</w:t>
      </w:r>
      <w:r>
        <w:rPr>
          <w:rStyle w:val="18"/>
          <w:rFonts w:hint="eastAsia" w:ascii="楷体" w:hAnsi="楷体" w:eastAsia="楷体"/>
          <w:b w:val="0"/>
          <w:bCs w:val="0"/>
          <w:spacing w:val="-4"/>
          <w:sz w:val="32"/>
          <w:szCs w:val="32"/>
        </w:rPr>
        <w:tab/>
        <w:t>项目效益</w:t>
      </w:r>
      <w:r>
        <w:rPr>
          <w:rStyle w:val="18"/>
          <w:rFonts w:hint="eastAsia" w:ascii="楷体" w:hAnsi="楷体" w:eastAsia="楷体"/>
          <w:b w:val="0"/>
          <w:bCs w:val="0"/>
          <w:spacing w:val="-4"/>
          <w:sz w:val="32"/>
          <w:szCs w:val="32"/>
        </w:rPr>
        <w:tab/>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50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15</w:t>
      </w:r>
      <w:r>
        <w:rPr>
          <w:rStyle w:val="18"/>
          <w:rFonts w:hint="eastAsia" w:ascii="楷体" w:hAnsi="楷体" w:eastAsia="楷体"/>
          <w:b w:val="0"/>
          <w:bCs w:val="0"/>
          <w:spacing w:val="-4"/>
          <w:sz w:val="32"/>
          <w:szCs w:val="32"/>
        </w:rPr>
        <w:tab/>
        <w:t>50</w:t>
      </w:r>
      <w:r>
        <w:rPr>
          <w:rStyle w:val="18"/>
          <w:rFonts w:hint="eastAsia" w:ascii="楷体" w:hAnsi="楷体" w:eastAsia="楷体"/>
          <w:b w:val="0"/>
          <w:bCs w:val="0"/>
          <w:spacing w:val="-4"/>
          <w:sz w:val="32"/>
          <w:szCs w:val="32"/>
        </w:rPr>
        <w:tab/>
        <w:t>20</w:t>
      </w:r>
      <w:r>
        <w:rPr>
          <w:rStyle w:val="18"/>
          <w:rFonts w:hint="eastAsia" w:ascii="楷体" w:hAnsi="楷体" w:eastAsia="楷体"/>
          <w:b w:val="0"/>
          <w:bCs w:val="0"/>
          <w:spacing w:val="-4"/>
          <w:sz w:val="32"/>
          <w:szCs w:val="32"/>
        </w:rPr>
        <w:tab/>
        <w:t>100</w:t>
      </w:r>
    </w:p>
    <w:p w14:paraId="3C0C269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4AB201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0D8B3B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1.项目立项依据昌州财教【2022】61号。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②审批文件、材料：本项目审批文件有：《项目申报方案批复》、《项目报告书的批复》，审批文件及材料齐全；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博物馆中央补助博物馆免费开放补助项目设立了项目绩效目标，与建设标准化免费开放资金基地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博物馆中央补助博物馆免费开放补助项目将项目绩效目标细化分解为具体的绩效指标，一级指标共3条，二级指标共7条，三级指标共11条，其中量化指标条数共11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建设内容及工程量严格按照《建设工程工程量清单计价规范》（GB50500-2013）规定计算，项目预算编制根据项目建设内容进行计算，预算数经过科学论证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本项目预算资金分配依据《昌州财教【2022】61号》，项目单位为木垒哈萨克自治县博物馆位于木垒县，资金分配与单位实际相适应。</w:t>
      </w:r>
      <w:r>
        <w:rPr>
          <w:rStyle w:val="18"/>
          <w:rFonts w:hint="eastAsia" w:ascii="楷体" w:hAnsi="楷体" w:eastAsia="楷体"/>
          <w:b w:val="0"/>
          <w:bCs w:val="0"/>
          <w:spacing w:val="-4"/>
          <w:sz w:val="32"/>
          <w:szCs w:val="32"/>
        </w:rPr>
        <w:tab/>
      </w:r>
    </w:p>
    <w:p w14:paraId="6FD4780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4AC5B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实际到位资金40万元，预算资金40万元，资金到位率100%。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年初预算数40万元，全年预算数40万元，全年执行数40万元，预算执行率为100%。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资金的拨付严格按照木垒县财政局资金拨付审批程序进行：由文行科室提交项目资金申请到木垒县财政局领导，经审批后提交到国库科。项目资金拨付手续齐全，资金拨付手续有：项目资金申请单。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本项目资金合同规定的用途为：发扬、保护木垒县非物质文化遗产。符合项目预算批复及合同规定的用途；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项目资金截至2023年12月31日已拨付至100%，过程不存在截留、挤占、挪用、虚列支出等情况。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已制定相应的财务和业务管理制度；财务和业务管理制度合法、合规、完整，管理制度健全；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本项目财务及业务管理制度符合《中华人民共和国政府采购法》、《中华人民共和国会计法》等相关法律法规，财务和业务管理制度已经过党工委审批通过，确保了各项制度的合法合规性及完整性。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5.1 项目的审批、实施、验收过程均遵守相关法律法规和相关管理规定；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项目实施方案、实施过程中材料等资料齐全并已及时归档；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14:paraId="280EE47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39B67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我单位截止到2023年12月31日，我单位已在木垒县开展流动博物馆展览10场次，免费开放博物馆300天，展厅免费参观人数达50000余人。让人民群众了解木垒历史，感受木垒的历史文化，其中：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指标1：开展流动博物馆展览次数，指标值：≥10次，实际完成值10次，指标完成率100%；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指标2：举办宣传活动次数，指标值：≥2次，实际完成值2次，指标完成率100%；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指标1：开展流动博物馆展览覆盖率，指标值：≥90%，实际完成值90%，指标完成率100%；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指标2：流动博物馆开展成功率，指标值：=100%，实际完成值100%，指标完成率100%；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指标1：资金拨付及时率，指标值：=100%，实际完成值100%，指标完成率100%；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指标2：参观接待开馆时间，指标值：≥300天，实际完成值300天，指标完成率100%；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指标1：流动博物馆展出成本控制率，指标值：=100%，实际完成值100%，指标完成率100%；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指标2：对社会公众正常生活影响率，指标值：=0，实际完成0，指标完成率100%；</w:t>
      </w:r>
    </w:p>
    <w:p w14:paraId="036E750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D4926E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我单位2023年中央补助地方博物馆纪念馆免费开放补助资金项目截止到2023年12月31日，已完成经济效益、社会效益；其中：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指标1：项目预算控制率，指标值：100% ，实际完成值100% ，指标完成率100%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指标1：县域内文物保护率，指标值：100% ，实际完成值100% ，指标完成率100%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指标2：博物馆正常运转率，指标值：100% ，实际完成值100% ，指标完成率100%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本项目未设置满意度指标</w:t>
      </w:r>
    </w:p>
    <w:p w14:paraId="22644246">
      <w:pPr>
        <w:spacing w:line="540" w:lineRule="exact"/>
        <w:ind w:firstLine="567"/>
        <w:rPr>
          <w:rStyle w:val="18"/>
          <w:rFonts w:ascii="楷体" w:hAnsi="楷体" w:eastAsia="楷体"/>
          <w:spacing w:val="-4"/>
          <w:sz w:val="32"/>
          <w:szCs w:val="32"/>
        </w:rPr>
      </w:pPr>
    </w:p>
    <w:p w14:paraId="50985CE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FC012DC">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根据木垒哈萨克自治县博物馆免费开放资金项目工作实施方案进度，木垒哈萨克自治县博物馆于2023年12月31日拨付40万元用于木垒县博物馆免费开放各项经费支出。截至2023年12月31日已执行40万元，预算执行率100%。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本项目绩效指标无偏差情况。</w:t>
      </w:r>
    </w:p>
    <w:p w14:paraId="6E41E8C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11DE56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1.是管理愈加规范。制定了专项资金管理工作制度，明确了资金付款流程，统一了资金申请手续，做到了层层审核、层层负责、层层把关，付款中全部要求请款单位提供正规发票，没有白条入账现象。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（1）博物馆专业技术人员年龄偏大，存在老龄化趋势。</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（2）博物馆缺少熟练掌握数字博物馆设备的专业技术人员。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（3）博物馆缺少非遗保护工作专业人员，非遗保护工作人员综合素质急需提高。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（4）文化活动缺少活动经费和演出场地。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我单位将根据实际情况向上级主管单位申请设备的专业技术人员和保护工作人员。</w:t>
      </w:r>
    </w:p>
    <w:p w14:paraId="7287855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6CE465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14:paraId="003F2D3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A9CDAC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（一）本项目部分间接产生的效果无法准确在短期内衡量，因此很难认定项目产生的全部效果，通过指标来反映绩效，指标的科学性和全面性需要不断的完善和研究。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（二）我单位对上述项目支出绩效评价报告内反映内容的真实性、完整性负责，接受上级部门及社会公众监督。</w:t>
      </w:r>
    </w:p>
    <w:p w14:paraId="1165BC63">
      <w:pPr>
        <w:spacing w:line="540" w:lineRule="exact"/>
        <w:ind w:firstLine="567"/>
        <w:rPr>
          <w:rStyle w:val="18"/>
          <w:rFonts w:ascii="仿宋" w:hAnsi="仿宋" w:eastAsia="仿宋"/>
          <w:b w:val="0"/>
          <w:spacing w:val="-4"/>
          <w:sz w:val="32"/>
          <w:szCs w:val="32"/>
        </w:rPr>
      </w:pPr>
    </w:p>
    <w:p w14:paraId="08995FFC">
      <w:pPr>
        <w:spacing w:line="540" w:lineRule="exact"/>
        <w:ind w:firstLine="567"/>
        <w:rPr>
          <w:rStyle w:val="18"/>
          <w:rFonts w:ascii="仿宋" w:hAnsi="仿宋" w:eastAsia="仿宋"/>
          <w:b w:val="0"/>
          <w:spacing w:val="-4"/>
          <w:sz w:val="32"/>
          <w:szCs w:val="32"/>
        </w:rPr>
      </w:pPr>
    </w:p>
    <w:p w14:paraId="6C04D8AE">
      <w:pPr>
        <w:spacing w:line="540" w:lineRule="exact"/>
        <w:ind w:firstLine="567"/>
        <w:rPr>
          <w:rStyle w:val="18"/>
          <w:rFonts w:ascii="仿宋" w:hAnsi="仿宋" w:eastAsia="仿宋"/>
          <w:b w:val="0"/>
          <w:spacing w:val="-4"/>
          <w:sz w:val="32"/>
          <w:szCs w:val="32"/>
        </w:rPr>
      </w:pPr>
    </w:p>
    <w:p w14:paraId="0458A264">
      <w:pPr>
        <w:spacing w:line="540" w:lineRule="exact"/>
        <w:ind w:firstLine="567"/>
        <w:rPr>
          <w:rStyle w:val="18"/>
          <w:rFonts w:ascii="仿宋" w:hAnsi="仿宋" w:eastAsia="仿宋"/>
          <w:b w:val="0"/>
          <w:spacing w:val="-4"/>
          <w:sz w:val="32"/>
          <w:szCs w:val="32"/>
        </w:rPr>
      </w:pPr>
    </w:p>
    <w:p w14:paraId="7CD2E4B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1F4EBA2">
        <w:pPr>
          <w:pStyle w:val="12"/>
          <w:jc w:val="center"/>
        </w:pPr>
        <w:r>
          <w:fldChar w:fldCharType="begin"/>
        </w:r>
        <w:r>
          <w:instrText xml:space="preserve">PAGE   \* MERGEFORMAT</w:instrText>
        </w:r>
        <w:r>
          <w:fldChar w:fldCharType="separate"/>
        </w:r>
        <w:r>
          <w:rPr>
            <w:lang w:val="zh-CN"/>
          </w:rPr>
          <w:t>2</w:t>
        </w:r>
        <w:r>
          <w:fldChar w:fldCharType="end"/>
        </w:r>
      </w:p>
    </w:sdtContent>
  </w:sdt>
  <w:p w14:paraId="60A9FE5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5967AA4"/>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6025</Words>
  <Characters>6372</Characters>
  <Lines>4</Lines>
  <Paragraphs>1</Paragraphs>
  <TotalTime>2</TotalTime>
  <ScaleCrop>false</ScaleCrop>
  <LinksUpToDate>false</LinksUpToDate>
  <CharactersWithSpaces>6438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哎呦喂</cp:lastModifiedBy>
  <cp:lastPrinted>2018-12-31T10:56:00Z</cp:lastPrinted>
  <dcterms:modified xsi:type="dcterms:W3CDTF">2024-12-27T06:01:53Z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C734C92AAAF24344A0E4232D8EB3359B</vt:lpwstr>
  </property>
  <property fmtid="{D5CDD505-2E9C-101B-9397-08002B2CF9AE}" pid="4" name="KSOTemplateDocerSaveRecord">
    <vt:lpwstr>eyJoZGlkIjoiMzEwNTM5NzYwMDRjMzkwZTVkZjY2ODkwMGIxNGU0OTUiLCJ1c2VySWQiOiIxMTcxMDQ1MzEwIn0=</vt:lpwstr>
  </property>
</Properties>
</file>